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425.1968503937008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</w:rPr>
        <w:drawing>
          <wp:inline distB="114300" distT="114300" distL="114300" distR="114300">
            <wp:extent cx="834866" cy="685800"/>
            <wp:effectExtent b="0" l="0" r="0" t="0"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-2134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34866" cy="685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04 juin 2019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6324600</wp:posOffset>
            </wp:positionH>
            <wp:positionV relativeFrom="paragraph">
              <wp:posOffset>114300</wp:posOffset>
            </wp:positionV>
            <wp:extent cx="510160" cy="671513"/>
            <wp:effectExtent b="0" l="0" r="0" t="0"/>
            <wp:wrapSquare wrapText="bothSides" distB="114300" distT="114300" distL="114300" distR="11430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0160" cy="67151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tbl>
      <w:tblPr>
        <w:tblStyle w:val="Table1"/>
        <w:tblW w:w="11349.0" w:type="dxa"/>
        <w:jc w:val="left"/>
        <w:tblInd w:w="-318.0" w:type="dxa"/>
        <w:tblLayout w:type="fixed"/>
        <w:tblLook w:val="0000"/>
      </w:tblPr>
      <w:tblGrid>
        <w:gridCol w:w="11349"/>
        <w:tblGridChange w:id="0">
          <w:tblGrid>
            <w:gridCol w:w="11349"/>
          </w:tblGrid>
        </w:tblGridChange>
      </w:tblGrid>
      <w:tr>
        <w:trPr>
          <w:trHeight w:val="760" w:hRule="atLeast"/>
        </w:trPr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4c2f4" w:val="clear"/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                                                        Robots Bee-Bot  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3">
      <w:pPr>
        <w:widowControl w:val="0"/>
        <w:rPr>
          <w:rFonts w:ascii="Arial" w:cs="Arial" w:eastAsia="Arial" w:hAnsi="Arial"/>
          <w:color w:val="00000a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341.0" w:type="dxa"/>
        <w:jc w:val="left"/>
        <w:tblInd w:w="-318.0" w:type="dxa"/>
        <w:tblLayout w:type="fixed"/>
        <w:tblLook w:val="0000"/>
      </w:tblPr>
      <w:tblGrid>
        <w:gridCol w:w="11341"/>
        <w:tblGridChange w:id="0">
          <w:tblGrid>
            <w:gridCol w:w="11341"/>
          </w:tblGrid>
        </w:tblGridChange>
      </w:tblGrid>
      <w:tr>
        <w:trPr>
          <w:trHeight w:val="5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4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Lieu :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widowControl w:val="0"/>
        <w:rPr>
          <w:rFonts w:ascii="Arial" w:cs="Arial" w:eastAsia="Arial" w:hAnsi="Arial"/>
          <w:color w:val="00000a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340.0" w:type="dxa"/>
        <w:jc w:val="left"/>
        <w:tblInd w:w="-318.0" w:type="dxa"/>
        <w:tblLayout w:type="fixed"/>
        <w:tblLook w:val="0000"/>
      </w:tblPr>
      <w:tblGrid>
        <w:gridCol w:w="6095"/>
        <w:gridCol w:w="5245"/>
        <w:tblGridChange w:id="0">
          <w:tblGrid>
            <w:gridCol w:w="6095"/>
            <w:gridCol w:w="5245"/>
          </w:tblGrid>
        </w:tblGridChange>
      </w:tblGrid>
      <w:tr>
        <w:trPr>
          <w:trHeight w:val="5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  <w:color w:val="548dd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Durée :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548dd4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a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a"/>
                <w:rtl w:val="0"/>
              </w:rPr>
              <w:t xml:space="preserve">15</w:t>
            </w:r>
            <w:r w:rsidDel="00000000" w:rsidR="00000000" w:rsidRPr="00000000">
              <w:rPr>
                <w:rFonts w:ascii="Arial" w:cs="Arial" w:eastAsia="Arial" w:hAnsi="Arial"/>
                <w:color w:val="00000a"/>
                <w:vertAlign w:val="baseline"/>
                <w:rtl w:val="0"/>
              </w:rPr>
              <w:t xml:space="preserve"> mn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Public :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95b3d7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a"/>
                <w:vertAlign w:val="baseline"/>
                <w:rtl w:val="0"/>
              </w:rPr>
              <w:t xml:space="preserve">à partir de </w:t>
            </w:r>
            <w:r w:rsidDel="00000000" w:rsidR="00000000" w:rsidRPr="00000000">
              <w:rPr>
                <w:rFonts w:ascii="Arial" w:cs="Arial" w:eastAsia="Arial" w:hAnsi="Arial"/>
                <w:color w:val="00000a"/>
                <w:rtl w:val="0"/>
              </w:rPr>
              <w:t xml:space="preserve">3</w:t>
            </w:r>
            <w:r w:rsidDel="00000000" w:rsidR="00000000" w:rsidRPr="00000000">
              <w:rPr>
                <w:rFonts w:ascii="Arial" w:cs="Arial" w:eastAsia="Arial" w:hAnsi="Arial"/>
                <w:color w:val="00000a"/>
                <w:vertAlign w:val="baseline"/>
                <w:rtl w:val="0"/>
              </w:rPr>
              <w:t xml:space="preserve"> ans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widowControl w:val="0"/>
        <w:rPr>
          <w:rFonts w:ascii="Arial" w:cs="Arial" w:eastAsia="Arial" w:hAnsi="Arial"/>
          <w:color w:val="00000a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340.0" w:type="dxa"/>
        <w:jc w:val="left"/>
        <w:tblInd w:w="-318.0" w:type="dxa"/>
        <w:tblLayout w:type="fixed"/>
        <w:tblLook w:val="0000"/>
      </w:tblPr>
      <w:tblGrid>
        <w:gridCol w:w="6095"/>
        <w:gridCol w:w="5245"/>
        <w:tblGridChange w:id="0">
          <w:tblGrid>
            <w:gridCol w:w="6095"/>
            <w:gridCol w:w="5245"/>
          </w:tblGrid>
        </w:tblGridChange>
      </w:tblGrid>
      <w:tr>
        <w:trPr>
          <w:trHeight w:val="5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color w:val="548dd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Public maximum conseillé :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rtl w:val="0"/>
              </w:rPr>
              <w:t xml:space="preserve">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Animateur :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 nécessaire</w:t>
            </w:r>
          </w:p>
        </w:tc>
      </w:tr>
    </w:tbl>
    <w:p w:rsidR="00000000" w:rsidDel="00000000" w:rsidP="00000000" w:rsidRDefault="00000000" w:rsidRPr="00000000" w14:paraId="0000000B">
      <w:pPr>
        <w:widowControl w:val="0"/>
        <w:tabs>
          <w:tab w:val="left" w:pos="1300"/>
        </w:tabs>
        <w:rPr>
          <w:rFonts w:ascii="Arial" w:cs="Arial" w:eastAsia="Arial" w:hAnsi="Arial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Objectifs : T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out rond, ludique et joyeux, le robot Bee-Bot n'est pas seulement là pour amuser la galerie : il permet aux enfants dès 3 ans de découvrir les premières bases de la robotique et des spécificités des robots : Qu'est-ce qui fait que mon robot avance tout seul ? Comment faire pour l'amener là où je le désire? </w:t>
      </w:r>
    </w:p>
    <w:p w:rsidR="00000000" w:rsidDel="00000000" w:rsidP="00000000" w:rsidRDefault="00000000" w:rsidRPr="00000000" w14:paraId="0000000D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Bee-Bot est d'autant plus ludique que son fonctionnement est… enfantin ! </w:t>
      </w:r>
    </w:p>
    <w:p w:rsidR="00000000" w:rsidDel="00000000" w:rsidP="00000000" w:rsidRDefault="00000000" w:rsidRPr="00000000" w14:paraId="0000000F">
      <w:pPr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Liste du matériel : </w:t>
      </w:r>
    </w:p>
    <w:p w:rsidR="00000000" w:rsidDel="00000000" w:rsidP="00000000" w:rsidRDefault="00000000" w:rsidRPr="00000000" w14:paraId="00000012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3 abeilles Bee-Bot</w:t>
      </w:r>
    </w:p>
    <w:p w:rsidR="00000000" w:rsidDel="00000000" w:rsidP="00000000" w:rsidRDefault="00000000" w:rsidRPr="00000000" w14:paraId="00000013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2 tapis d’exploration</w:t>
      </w:r>
    </w:p>
    <w:p w:rsidR="00000000" w:rsidDel="00000000" w:rsidP="00000000" w:rsidRDefault="00000000" w:rsidRPr="00000000" w14:paraId="00000014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Liste des logiciels :</w:t>
      </w:r>
    </w:p>
    <w:p w:rsidR="00000000" w:rsidDel="00000000" w:rsidP="00000000" w:rsidRDefault="00000000" w:rsidRPr="00000000" w14:paraId="00000017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Aucun logiciel nécessaire</w:t>
      </w:r>
    </w:p>
    <w:p w:rsidR="00000000" w:rsidDel="00000000" w:rsidP="00000000" w:rsidRDefault="00000000" w:rsidRPr="00000000" w14:paraId="00000018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Procédure :</w:t>
      </w:r>
    </w:p>
    <w:p w:rsidR="00000000" w:rsidDel="00000000" w:rsidP="00000000" w:rsidRDefault="00000000" w:rsidRPr="00000000" w14:paraId="0000001A">
      <w:pPr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Un pavé directionnel est intégré sur le dessus de la petite bête : flèche gauche, flèche droite, haut, bas, et un bouton OK pour valider. Il suffit que l'enfant visualise le trajet que doit faire Bee-Bot sur le tapis divisé en cases, et le programme par avance en appuyant sur les bonnes flèches. Il doit ensuite appuyer sur OK pour que Bee-Bot se mette en route et que l'enfant puisse ainsi vérifier qu'il n'a pas fait d'erreur !</w:t>
      </w:r>
    </w:p>
    <w:p w:rsidR="00000000" w:rsidDel="00000000" w:rsidP="00000000" w:rsidRDefault="00000000" w:rsidRPr="00000000" w14:paraId="0000001C">
      <w:pPr>
        <w:widowControl w:val="0"/>
        <w:tabs>
          <w:tab w:val="left" w:pos="1300"/>
        </w:tabs>
        <w:rPr>
          <w:rFonts w:ascii="Arial" w:cs="Arial" w:eastAsia="Arial" w:hAnsi="Arial"/>
          <w:color w:val="cc0066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400050</wp:posOffset>
            </wp:positionH>
            <wp:positionV relativeFrom="paragraph">
              <wp:posOffset>333375</wp:posOffset>
            </wp:positionV>
            <wp:extent cx="1706030" cy="2181225"/>
            <wp:effectExtent b="0" l="0" r="0" t="0"/>
            <wp:wrapTopAndBottom distB="114300" distT="114300"/>
            <wp:docPr id="1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06030" cy="21812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3962400</wp:posOffset>
            </wp:positionH>
            <wp:positionV relativeFrom="paragraph">
              <wp:posOffset>200025</wp:posOffset>
            </wp:positionV>
            <wp:extent cx="2362200" cy="2183921"/>
            <wp:effectExtent b="0" l="0" r="0" t="0"/>
            <wp:wrapTopAndBottom distB="114300" distT="11430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218392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footerReference r:id="rId10" w:type="default"/>
      <w:pgSz w:h="16838" w:w="11906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Direction de la Lecture Publique de Loir-et-Cher - Creative Commons CC BY NC  </w:t>
      <w:tab/>
      <w:tab/>
      <w:tab/>
      <w:tab/>
    </w:r>
    <w:r w:rsidDel="00000000" w:rsidR="00000000" w:rsidRPr="00000000">
      <w:rPr>
        <w:rFonts w:ascii="Arial" w:cs="Arial" w:eastAsia="Arial" w:hAnsi="Arial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 / </w:t>
    </w:r>
    <w:r w:rsidDel="00000000" w:rsidR="00000000" w:rsidRPr="00000000">
      <w:rPr>
        <w:rFonts w:ascii="Arial" w:cs="Arial" w:eastAsia="Arial" w:hAnsi="Arial"/>
        <w:sz w:val="20"/>
        <w:szCs w:val="20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2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