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25.1968503937008"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rPr>
        <w:drawing>
          <wp:inline distB="114300" distT="114300" distL="114300" distR="114300">
            <wp:extent cx="834866" cy="685800"/>
            <wp:effectExtent b="0" l="0" r="0" t="0"/>
            <wp:docPr id="1" name="image3.png"/>
            <a:graphic>
              <a:graphicData uri="http://schemas.openxmlformats.org/drawingml/2006/picture">
                <pic:pic>
                  <pic:nvPicPr>
                    <pic:cNvPr id="0" name="image3.png"/>
                    <pic:cNvPicPr preferRelativeResize="0"/>
                  </pic:nvPicPr>
                  <pic:blipFill>
                    <a:blip r:embed="rId6"/>
                    <a:srcRect b="0" l="-21340" r="0" t="0"/>
                    <a:stretch>
                      <a:fillRect/>
                    </a:stretch>
                  </pic:blipFill>
                  <pic:spPr>
                    <a:xfrm>
                      <a:off x="0" y="0"/>
                      <a:ext cx="834866" cy="685800"/>
                    </a:xfrm>
                    <a:prstGeom prst="rect"/>
                    <a:ln/>
                  </pic:spPr>
                </pic:pic>
              </a:graphicData>
            </a:graphic>
          </wp:inline>
        </w:drawing>
      </w:r>
      <w:r w:rsidDel="00000000" w:rsidR="00000000" w:rsidRPr="00000000">
        <w:rPr>
          <w:rFonts w:ascii="Arial" w:cs="Arial" w:eastAsia="Arial" w:hAnsi="Arial"/>
          <w:sz w:val="22"/>
          <w:szCs w:val="22"/>
          <w:rtl w:val="0"/>
        </w:rPr>
        <w:t xml:space="preserve"> 28 février 2020</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6324600</wp:posOffset>
            </wp:positionH>
            <wp:positionV relativeFrom="paragraph">
              <wp:posOffset>114300</wp:posOffset>
            </wp:positionV>
            <wp:extent cx="510160" cy="671513"/>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10160" cy="671513"/>
                    </a:xfrm>
                    <a:prstGeom prst="rect"/>
                    <a:ln/>
                  </pic:spPr>
                </pic:pic>
              </a:graphicData>
            </a:graphic>
          </wp:anchor>
        </w:drawing>
      </w:r>
    </w:p>
    <w:tbl>
      <w:tblPr>
        <w:tblStyle w:val="Table1"/>
        <w:tblW w:w="11349.0" w:type="dxa"/>
        <w:jc w:val="left"/>
        <w:tblInd w:w="-318.0" w:type="dxa"/>
        <w:tblLayout w:type="fixed"/>
        <w:tblLook w:val="0000"/>
      </w:tblPr>
      <w:tblGrid>
        <w:gridCol w:w="11349"/>
        <w:tblGridChange w:id="0">
          <w:tblGrid>
            <w:gridCol w:w="11349"/>
          </w:tblGrid>
        </w:tblGridChange>
      </w:tblGrid>
      <w:tr>
        <w:trPr>
          <w:trHeight w:val="760" w:hRule="atLeast"/>
        </w:trPr>
        <w:tc>
          <w:tcPr>
            <w:tcBorders>
              <w:top w:color="ffffff" w:space="0" w:sz="6" w:val="single"/>
              <w:left w:color="ffffff" w:space="0" w:sz="6" w:val="single"/>
              <w:bottom w:color="ffffff" w:space="0" w:sz="6" w:val="single"/>
              <w:right w:color="ffffff" w:space="0" w:sz="6" w:val="single"/>
            </w:tcBorders>
            <w:shd w:fill="a4c2f4" w:val="clear"/>
            <w:vAlign w:val="cente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                                                          Robot Thymio</w:t>
            </w:r>
            <w:r w:rsidDel="00000000" w:rsidR="00000000" w:rsidRPr="00000000">
              <w:rPr>
                <w:rtl w:val="0"/>
              </w:rPr>
            </w:r>
          </w:p>
        </w:tc>
      </w:tr>
    </w:tbl>
    <w:p w:rsidR="00000000" w:rsidDel="00000000" w:rsidP="00000000" w:rsidRDefault="00000000" w:rsidRPr="00000000" w14:paraId="00000003">
      <w:pPr>
        <w:widowControl w:val="0"/>
        <w:rPr>
          <w:rFonts w:ascii="Arial" w:cs="Arial" w:eastAsia="Arial" w:hAnsi="Arial"/>
          <w:color w:val="00000a"/>
          <w:vertAlign w:val="baseline"/>
        </w:rPr>
      </w:pPr>
      <w:r w:rsidDel="00000000" w:rsidR="00000000" w:rsidRPr="00000000">
        <w:rPr>
          <w:rtl w:val="0"/>
        </w:rPr>
      </w:r>
    </w:p>
    <w:tbl>
      <w:tblPr>
        <w:tblStyle w:val="Table2"/>
        <w:tblW w:w="11341.0" w:type="dxa"/>
        <w:jc w:val="left"/>
        <w:tblInd w:w="-318.0" w:type="dxa"/>
        <w:tblLayout w:type="fixed"/>
        <w:tblLook w:val="0000"/>
      </w:tblPr>
      <w:tblGrid>
        <w:gridCol w:w="11341"/>
        <w:tblGridChange w:id="0">
          <w:tblGrid>
            <w:gridCol w:w="11341"/>
          </w:tblGrid>
        </w:tblGridChange>
      </w:tblGrid>
      <w:tr>
        <w:trPr>
          <w:trHeight w:val="560" w:hRule="atLeast"/>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4">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Lieu :</w:t>
            </w:r>
            <w:r w:rsidDel="00000000" w:rsidR="00000000" w:rsidRPr="00000000">
              <w:rPr>
                <w:rFonts w:ascii="Arial" w:cs="Arial" w:eastAsia="Arial" w:hAnsi="Arial"/>
                <w:b w:val="1"/>
                <w:color w:val="00000a"/>
                <w:vertAlign w:val="baseline"/>
                <w:rtl w:val="0"/>
              </w:rPr>
              <w:t xml:space="preserve"> </w:t>
            </w:r>
            <w:r w:rsidDel="00000000" w:rsidR="00000000" w:rsidRPr="00000000">
              <w:rPr>
                <w:rtl w:val="0"/>
              </w:rPr>
            </w:r>
          </w:p>
        </w:tc>
      </w:tr>
    </w:tbl>
    <w:p w:rsidR="00000000" w:rsidDel="00000000" w:rsidP="00000000" w:rsidRDefault="00000000" w:rsidRPr="00000000" w14:paraId="00000005">
      <w:pPr>
        <w:widowControl w:val="0"/>
        <w:rPr>
          <w:rFonts w:ascii="Arial" w:cs="Arial" w:eastAsia="Arial" w:hAnsi="Arial"/>
          <w:color w:val="00000a"/>
          <w:vertAlign w:val="baseline"/>
        </w:rPr>
      </w:pPr>
      <w:r w:rsidDel="00000000" w:rsidR="00000000" w:rsidRPr="00000000">
        <w:rPr>
          <w:rtl w:val="0"/>
        </w:rPr>
      </w:r>
    </w:p>
    <w:tbl>
      <w:tblPr>
        <w:tblStyle w:val="Table3"/>
        <w:tblW w:w="11340.0" w:type="dxa"/>
        <w:jc w:val="left"/>
        <w:tblInd w:w="-318.0" w:type="dxa"/>
        <w:tblLayout w:type="fixed"/>
        <w:tblLook w:val="0000"/>
      </w:tblPr>
      <w:tblGrid>
        <w:gridCol w:w="6095"/>
        <w:gridCol w:w="5245"/>
        <w:tblGridChange w:id="0">
          <w:tblGrid>
            <w:gridCol w:w="6095"/>
            <w:gridCol w:w="5245"/>
          </w:tblGrid>
        </w:tblGridChange>
      </w:tblGrid>
      <w:tr>
        <w:trPr>
          <w:trHeight w:val="580" w:hRule="atLeast"/>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6">
            <w:pPr>
              <w:rPr>
                <w:rFonts w:ascii="Arial" w:cs="Arial" w:eastAsia="Arial" w:hAnsi="Arial"/>
                <w:color w:val="548dd4"/>
                <w:vertAlign w:val="baseline"/>
              </w:rPr>
            </w:pPr>
            <w:r w:rsidDel="00000000" w:rsidR="00000000" w:rsidRPr="00000000">
              <w:rPr>
                <w:rFonts w:ascii="Arial" w:cs="Arial" w:eastAsia="Arial" w:hAnsi="Arial"/>
                <w:b w:val="1"/>
                <w:vertAlign w:val="baseline"/>
                <w:rtl w:val="0"/>
              </w:rPr>
              <w:t xml:space="preserve">Durée :</w:t>
            </w:r>
            <w:r w:rsidDel="00000000" w:rsidR="00000000" w:rsidRPr="00000000">
              <w:rPr>
                <w:rFonts w:ascii="Arial" w:cs="Arial" w:eastAsia="Arial" w:hAnsi="Arial"/>
                <w:b w:val="1"/>
                <w:color w:val="548dd4"/>
                <w:vertAlign w:val="baseline"/>
                <w:rtl w:val="0"/>
              </w:rPr>
              <w:t xml:space="preserve"> </w:t>
            </w:r>
            <w:r w:rsidDel="00000000" w:rsidR="00000000" w:rsidRPr="00000000">
              <w:rPr>
                <w:rFonts w:ascii="Arial" w:cs="Arial" w:eastAsia="Arial" w:hAnsi="Arial"/>
                <w:color w:val="00000a"/>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7">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Public :</w:t>
            </w:r>
            <w:r w:rsidDel="00000000" w:rsidR="00000000" w:rsidRPr="00000000">
              <w:rPr>
                <w:rFonts w:ascii="Arial" w:cs="Arial" w:eastAsia="Arial" w:hAnsi="Arial"/>
                <w:b w:val="1"/>
                <w:color w:val="95b3d7"/>
                <w:vertAlign w:val="baseline"/>
                <w:rtl w:val="0"/>
              </w:rPr>
              <w:t xml:space="preserve"> </w:t>
            </w:r>
            <w:r w:rsidDel="00000000" w:rsidR="00000000" w:rsidRPr="00000000">
              <w:rPr>
                <w:rFonts w:ascii="Arial" w:cs="Arial" w:eastAsia="Arial" w:hAnsi="Arial"/>
                <w:color w:val="00000a"/>
                <w:vertAlign w:val="baseline"/>
                <w:rtl w:val="0"/>
              </w:rPr>
              <w:t xml:space="preserve">à partir de </w:t>
            </w:r>
            <w:r w:rsidDel="00000000" w:rsidR="00000000" w:rsidRPr="00000000">
              <w:rPr>
                <w:rFonts w:ascii="Arial" w:cs="Arial" w:eastAsia="Arial" w:hAnsi="Arial"/>
                <w:color w:val="00000a"/>
                <w:rtl w:val="0"/>
              </w:rPr>
              <w:t xml:space="preserve">7</w:t>
            </w:r>
            <w:r w:rsidDel="00000000" w:rsidR="00000000" w:rsidRPr="00000000">
              <w:rPr>
                <w:rFonts w:ascii="Arial" w:cs="Arial" w:eastAsia="Arial" w:hAnsi="Arial"/>
                <w:color w:val="00000a"/>
                <w:vertAlign w:val="baseline"/>
                <w:rtl w:val="0"/>
              </w:rPr>
              <w:t xml:space="preserve"> ans</w:t>
            </w:r>
            <w:r w:rsidDel="00000000" w:rsidR="00000000" w:rsidRPr="00000000">
              <w:rPr>
                <w:rtl w:val="0"/>
              </w:rPr>
            </w:r>
          </w:p>
        </w:tc>
      </w:tr>
    </w:tbl>
    <w:p w:rsidR="00000000" w:rsidDel="00000000" w:rsidP="00000000" w:rsidRDefault="00000000" w:rsidRPr="00000000" w14:paraId="00000008">
      <w:pPr>
        <w:widowControl w:val="0"/>
        <w:rPr>
          <w:rFonts w:ascii="Arial" w:cs="Arial" w:eastAsia="Arial" w:hAnsi="Arial"/>
          <w:color w:val="00000a"/>
          <w:vertAlign w:val="baseline"/>
        </w:rPr>
      </w:pPr>
      <w:r w:rsidDel="00000000" w:rsidR="00000000" w:rsidRPr="00000000">
        <w:rPr>
          <w:rtl w:val="0"/>
        </w:rPr>
      </w:r>
    </w:p>
    <w:tbl>
      <w:tblPr>
        <w:tblStyle w:val="Table4"/>
        <w:tblW w:w="11340.0" w:type="dxa"/>
        <w:jc w:val="left"/>
        <w:tblInd w:w="-318.0" w:type="dxa"/>
        <w:tblLayout w:type="fixed"/>
        <w:tblLook w:val="0000"/>
      </w:tblPr>
      <w:tblGrid>
        <w:gridCol w:w="6095"/>
        <w:gridCol w:w="5245"/>
        <w:tblGridChange w:id="0">
          <w:tblGrid>
            <w:gridCol w:w="6095"/>
            <w:gridCol w:w="5245"/>
          </w:tblGrid>
        </w:tblGridChange>
      </w:tblGrid>
      <w:tr>
        <w:trPr>
          <w:trHeight w:val="560" w:hRule="atLeast"/>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9">
            <w:pPr>
              <w:rPr>
                <w:rFonts w:ascii="Arial" w:cs="Arial" w:eastAsia="Arial" w:hAnsi="Arial"/>
                <w:color w:val="548dd4"/>
                <w:vertAlign w:val="baseline"/>
              </w:rPr>
            </w:pPr>
            <w:r w:rsidDel="00000000" w:rsidR="00000000" w:rsidRPr="00000000">
              <w:rPr>
                <w:rFonts w:ascii="Arial" w:cs="Arial" w:eastAsia="Arial" w:hAnsi="Arial"/>
                <w:b w:val="1"/>
                <w:vertAlign w:val="baseline"/>
                <w:rtl w:val="0"/>
              </w:rPr>
              <w:t xml:space="preserve">Public maximum conseillé :</w:t>
            </w:r>
            <w:r w:rsidDel="00000000" w:rsidR="00000000" w:rsidRPr="00000000">
              <w:rPr>
                <w:rFonts w:ascii="Arial" w:cs="Arial" w:eastAsia="Arial" w:hAnsi="Arial"/>
                <w:b w:val="1"/>
                <w:color w:val="00000a"/>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A">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Animateur :</w:t>
            </w:r>
            <w:r w:rsidDel="00000000" w:rsidR="00000000" w:rsidRPr="00000000">
              <w:rPr>
                <w:rFonts w:ascii="Arial" w:cs="Arial" w:eastAsia="Arial" w:hAnsi="Arial"/>
                <w:vertAlign w:val="baseline"/>
                <w:rtl w:val="0"/>
              </w:rPr>
              <w:t xml:space="preserve"> nécessaire</w:t>
            </w:r>
          </w:p>
        </w:tc>
      </w:tr>
    </w:tbl>
    <w:p w:rsidR="00000000" w:rsidDel="00000000" w:rsidP="00000000" w:rsidRDefault="00000000" w:rsidRPr="00000000" w14:paraId="0000000B">
      <w:pPr>
        <w:widowControl w:val="0"/>
        <w:tabs>
          <w:tab w:val="left" w:pos="1300"/>
        </w:tabs>
        <w:rPr>
          <w:rFonts w:ascii="Arial" w:cs="Arial" w:eastAsia="Arial" w:hAnsi="Arial"/>
          <w:color w:val="00000a"/>
        </w:rPr>
      </w:pPr>
      <w:r w:rsidDel="00000000" w:rsidR="00000000" w:rsidRPr="00000000">
        <w:rPr>
          <w:rtl w:val="0"/>
        </w:rPr>
      </w:r>
    </w:p>
    <w:p w:rsidR="00000000" w:rsidDel="00000000" w:rsidP="00000000" w:rsidRDefault="00000000" w:rsidRPr="00000000" w14:paraId="0000000C">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Objectifs :</w:t>
      </w:r>
    </w:p>
    <w:p w:rsidR="00000000" w:rsidDel="00000000" w:rsidP="00000000" w:rsidRDefault="00000000" w:rsidRPr="00000000" w14:paraId="0000000D">
      <w:pPr>
        <w:jc w:val="both"/>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Le robot Thymio a été conçu pour la découverte de la programmation par deux écoles supérieures suisses. Ses particularités sont d’être totalement open source, très facile à prendre en main, programmable avec quatre langages différents, compatible avec les briques Lego. Thymio se présente sous la forme d’une base roulante de petite taille dotée de très nombreux capteurs et diodes de couleurs. Il a six comportements de base pour interagir immédiatement.</w:t>
      </w:r>
      <w:r w:rsidDel="00000000" w:rsidR="00000000" w:rsidRPr="00000000">
        <w:rPr>
          <w:rtl w:val="0"/>
        </w:rPr>
      </w:r>
    </w:p>
    <w:p w:rsidR="00000000" w:rsidDel="00000000" w:rsidP="00000000" w:rsidRDefault="00000000" w:rsidRPr="00000000" w14:paraId="0000000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0">
      <w:pPr>
        <w:keepNext w:val="0"/>
        <w:keepLines w:val="0"/>
        <w:jc w:val="both"/>
        <w:rPr>
          <w:rFonts w:ascii="Arial" w:cs="Arial" w:eastAsia="Arial" w:hAnsi="Arial"/>
          <w:b w:val="1"/>
        </w:rPr>
      </w:pPr>
      <w:r w:rsidDel="00000000" w:rsidR="00000000" w:rsidRPr="00000000">
        <w:rPr>
          <w:rFonts w:ascii="Arial" w:cs="Arial" w:eastAsia="Arial" w:hAnsi="Arial"/>
          <w:b w:val="1"/>
          <w:rtl w:val="0"/>
        </w:rPr>
        <w:t xml:space="preserve">Spécifications techniques du robot : </w:t>
      </w:r>
    </w:p>
    <w:p w:rsidR="00000000" w:rsidDel="00000000" w:rsidP="00000000" w:rsidRDefault="00000000" w:rsidRPr="00000000" w14:paraId="00000011">
      <w:pPr>
        <w:numPr>
          <w:ilvl w:val="0"/>
          <w:numId w:val="1"/>
        </w:numPr>
        <w:spacing w:after="0" w:afterAutospacing="0" w:before="24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Autonomie : batterie rechargeable par USB </w:t>
      </w:r>
    </w:p>
    <w:p w:rsidR="00000000" w:rsidDel="00000000" w:rsidP="00000000" w:rsidRDefault="00000000" w:rsidRPr="00000000" w14:paraId="00000012">
      <w:pPr>
        <w:numPr>
          <w:ilvl w:val="0"/>
          <w:numId w:val="1"/>
        </w:numPr>
        <w:spacing w:after="240" w:before="0" w:beforeAutospacing="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Les commandes tactiles sur le dessus du robot permettent de l’allumer/éteindre et de lancer les six comportements de base.</w:t>
      </w:r>
    </w:p>
    <w:p w:rsidR="00000000" w:rsidDel="00000000" w:rsidP="00000000" w:rsidRDefault="00000000" w:rsidRPr="00000000" w14:paraId="00000013">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numPr>
          <w:ilvl w:val="0"/>
          <w:numId w:val="1"/>
        </w:numPr>
        <w:spacing w:after="0" w:afterAutospacing="0" w:before="240" w:lineRule="auto"/>
        <w:ind w:left="720" w:hanging="3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Contenu du coffret :</w:t>
      </w:r>
    </w:p>
    <w:p w:rsidR="00000000" w:rsidDel="00000000" w:rsidP="00000000" w:rsidRDefault="00000000" w:rsidRPr="00000000" w14:paraId="00000015">
      <w:pPr>
        <w:numPr>
          <w:ilvl w:val="0"/>
          <w:numId w:val="1"/>
        </w:numPr>
        <w:spacing w:after="0" w:afterAutospacing="0" w:before="0" w:beforeAutospacing="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 robot Thymio</w:t>
      </w:r>
    </w:p>
    <w:p w:rsidR="00000000" w:rsidDel="00000000" w:rsidP="00000000" w:rsidRDefault="00000000" w:rsidRPr="00000000" w14:paraId="00000016">
      <w:pPr>
        <w:numPr>
          <w:ilvl w:val="0"/>
          <w:numId w:val="1"/>
        </w:numPr>
        <w:spacing w:after="0" w:afterAutospacing="0" w:before="0" w:beforeAutospacing="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 livret de démarrage</w:t>
      </w:r>
    </w:p>
    <w:p w:rsidR="00000000" w:rsidDel="00000000" w:rsidP="00000000" w:rsidRDefault="00000000" w:rsidRPr="00000000" w14:paraId="00000017">
      <w:pPr>
        <w:numPr>
          <w:ilvl w:val="0"/>
          <w:numId w:val="1"/>
        </w:numPr>
        <w:spacing w:after="0" w:afterAutospacing="0" w:before="0" w:beforeAutospacing="0"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1 câble USB</w:t>
      </w:r>
    </w:p>
    <w:p w:rsidR="00000000" w:rsidDel="00000000" w:rsidP="00000000" w:rsidRDefault="00000000" w:rsidRPr="00000000" w14:paraId="00000018">
      <w:pPr>
        <w:numPr>
          <w:ilvl w:val="0"/>
          <w:numId w:val="1"/>
        </w:numPr>
        <w:spacing w:after="240" w:before="0" w:beforeAutospacing="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 clé wifi</w:t>
      </w:r>
    </w:p>
    <w:p w:rsidR="00000000" w:rsidDel="00000000" w:rsidP="00000000" w:rsidRDefault="00000000" w:rsidRPr="00000000" w14:paraId="00000019">
      <w:pPr>
        <w:jc w:val="both"/>
        <w:rPr>
          <w:rFonts w:ascii="Arial" w:cs="Arial" w:eastAsia="Arial" w:hAnsi="Arial"/>
        </w:rPr>
      </w:pPr>
      <w:r w:rsidDel="00000000" w:rsidR="00000000" w:rsidRPr="00000000">
        <w:rPr>
          <w:rtl w:val="0"/>
        </w:rPr>
      </w:r>
    </w:p>
    <w:p w:rsidR="00000000" w:rsidDel="00000000" w:rsidP="00000000" w:rsidRDefault="00000000" w:rsidRPr="00000000" w14:paraId="0000001A">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Procédure (DEMO) :</w:t>
      </w:r>
    </w:p>
    <w:p w:rsidR="00000000" w:rsidDel="00000000" w:rsidP="00000000" w:rsidRDefault="00000000" w:rsidRPr="00000000" w14:paraId="0000001B">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C">
      <w:pPr>
        <w:numPr>
          <w:ilvl w:val="0"/>
          <w:numId w:val="2"/>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Sortir Thymio de son coffret</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Allumez-le en appuyant 3 secondes sur le bouton tactile rond au centre des quatres flèches</w:t>
      </w:r>
    </w:p>
    <w:p w:rsidR="00000000" w:rsidDel="00000000" w:rsidP="00000000" w:rsidRDefault="00000000" w:rsidRPr="00000000" w14:paraId="0000001E">
      <w:pPr>
        <w:numPr>
          <w:ilvl w:val="0"/>
          <w:numId w:val="2"/>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Chaque appui sur l’une des flèches </w:t>
      </w:r>
      <w:r w:rsidDel="00000000" w:rsidR="00000000" w:rsidRPr="00000000">
        <w:rPr>
          <w:rFonts w:ascii="Arial" w:cs="Arial" w:eastAsia="Arial" w:hAnsi="Arial"/>
          <w:sz w:val="22"/>
          <w:szCs w:val="22"/>
          <w:rtl w:val="0"/>
        </w:rPr>
        <w:t xml:space="preserve">sélectionne</w:t>
      </w:r>
      <w:r w:rsidDel="00000000" w:rsidR="00000000" w:rsidRPr="00000000">
        <w:rPr>
          <w:rFonts w:ascii="Arial" w:cs="Arial" w:eastAsia="Arial" w:hAnsi="Arial"/>
          <w:sz w:val="22"/>
          <w:szCs w:val="22"/>
          <w:rtl w:val="0"/>
        </w:rPr>
        <w:t xml:space="preserve"> un comportement différent reconnaissable à sa couleur : vert (amical) il suit le main, jaune (explorateur) il évite les obstacles et s’arrête au bord de la table, rouge (peureux) il fuit les objets ou la main, bleu foncé (attentif) il se déplace en fonction des claquements de main, bleu clair (inspecteur) il suit une piste noire au sol, violet (obéissant) il suit les commandes données avec les flèches de direction. Sélectionnez ou annulez un comportement en appuyant une nouvelle fois sur le bouton rond central.</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Téléchargement des logiciels de programmation sur le site </w:t>
      </w:r>
      <w:hyperlink r:id="rId8">
        <w:r w:rsidDel="00000000" w:rsidR="00000000" w:rsidRPr="00000000">
          <w:rPr>
            <w:rFonts w:ascii="Arial" w:cs="Arial" w:eastAsia="Arial" w:hAnsi="Arial"/>
            <w:color w:val="1155cc"/>
            <w:sz w:val="22"/>
            <w:szCs w:val="22"/>
            <w:u w:val="single"/>
            <w:rtl w:val="0"/>
          </w:rPr>
          <w:t xml:space="preserve">https://www.thymio.org/fr/programmer/</w:t>
        </w:r>
      </w:hyperlink>
      <w:r w:rsidDel="00000000" w:rsidR="00000000" w:rsidRPr="00000000">
        <w:rPr>
          <w:rtl w:val="0"/>
        </w:rPr>
      </w:r>
    </w:p>
    <w:p w:rsidR="00000000" w:rsidDel="00000000" w:rsidP="00000000" w:rsidRDefault="00000000" w:rsidRPr="00000000" w14:paraId="00000022">
      <w:pPr>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ind w:left="1440" w:firstLine="0"/>
        <w:jc w:val="both"/>
        <w:rPr>
          <w:rFonts w:ascii="Arial" w:cs="Arial" w:eastAsia="Arial" w:hAnsi="Arial"/>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200025</wp:posOffset>
            </wp:positionH>
            <wp:positionV relativeFrom="paragraph">
              <wp:posOffset>114300</wp:posOffset>
            </wp:positionV>
            <wp:extent cx="5922470" cy="3690938"/>
            <wp:effectExtent b="0" l="0" r="0" t="0"/>
            <wp:wrapTopAndBottom distB="114300" distT="114300"/>
            <wp:docPr id="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922470" cy="3690938"/>
                    </a:xfrm>
                    <a:prstGeom prst="rect"/>
                    <a:ln/>
                  </pic:spPr>
                </pic:pic>
              </a:graphicData>
            </a:graphic>
          </wp:anchor>
        </w:drawing>
      </w:r>
    </w:p>
    <w:p w:rsidR="00000000" w:rsidDel="00000000" w:rsidP="00000000" w:rsidRDefault="00000000" w:rsidRPr="00000000" w14:paraId="00000026">
      <w:pPr>
        <w:widowControl w:val="0"/>
        <w:tabs>
          <w:tab w:val="left" w:pos="1300"/>
        </w:tabs>
        <w:rPr>
          <w:rFonts w:ascii="Arial" w:cs="Arial" w:eastAsia="Arial" w:hAnsi="Arial"/>
          <w:color w:val="cc0066"/>
          <w:sz w:val="22"/>
          <w:szCs w:val="22"/>
        </w:rPr>
      </w:pPr>
      <w:r w:rsidDel="00000000" w:rsidR="00000000" w:rsidRPr="00000000">
        <w:rPr>
          <w:rtl w:val="0"/>
        </w:rPr>
      </w:r>
    </w:p>
    <w:sectPr>
      <w:footerReference r:id="rId10" w:type="default"/>
      <w:pgSz w:h="16838" w:w="11906"/>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rFonts w:ascii="Arial" w:cs="Arial" w:eastAsia="Arial" w:hAnsi="Arial"/>
        <w:sz w:val="20"/>
        <w:szCs w:val="20"/>
      </w:rPr>
    </w:pPr>
    <w:r w:rsidDel="00000000" w:rsidR="00000000" w:rsidRPr="00000000">
      <w:rPr>
        <w:rFonts w:ascii="Arial" w:cs="Arial" w:eastAsia="Arial" w:hAnsi="Arial"/>
        <w:sz w:val="20"/>
        <w:szCs w:val="20"/>
        <w:rtl w:val="0"/>
      </w:rPr>
      <w:t xml:space="preserve">Direction de la Lecture Publique de Loir-et-Cher - Creative Commons CC BY NC  </w:t>
      <w:tab/>
      <w:tab/>
      <w:tab/>
      <w:tab/>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hyperlink" Target="https://www.thymio.org/fr/program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