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25.1968503937008"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834866" cy="685800"/>
            <wp:effectExtent b="0" l="0" r="0" t="0"/>
            <wp:docPr id="1" name="image4.png"/>
            <a:graphic>
              <a:graphicData uri="http://schemas.openxmlformats.org/drawingml/2006/picture">
                <pic:pic>
                  <pic:nvPicPr>
                    <pic:cNvPr id="0" name="image4.png"/>
                    <pic:cNvPicPr preferRelativeResize="0"/>
                  </pic:nvPicPr>
                  <pic:blipFill>
                    <a:blip r:embed="rId6"/>
                    <a:srcRect b="0" l="-21340" r="0" t="0"/>
                    <a:stretch>
                      <a:fillRect/>
                    </a:stretch>
                  </pic:blipFill>
                  <pic:spPr>
                    <a:xfrm>
                      <a:off x="0" y="0"/>
                      <a:ext cx="834866" cy="685800"/>
                    </a:xfrm>
                    <a:prstGeom prst="rect"/>
                    <a:ln/>
                  </pic:spPr>
                </pic:pic>
              </a:graphicData>
            </a:graphic>
          </wp:inline>
        </w:drawing>
      </w:r>
      <w:r w:rsidDel="00000000" w:rsidR="00000000" w:rsidRPr="00000000">
        <w:rPr>
          <w:rFonts w:ascii="Arial" w:cs="Arial" w:eastAsia="Arial" w:hAnsi="Arial"/>
          <w:sz w:val="22"/>
          <w:szCs w:val="22"/>
          <w:rtl w:val="0"/>
        </w:rPr>
        <w:t xml:space="preserve"> 06 juin 2019</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6324600</wp:posOffset>
            </wp:positionH>
            <wp:positionV relativeFrom="paragraph">
              <wp:posOffset>114300</wp:posOffset>
            </wp:positionV>
            <wp:extent cx="510160" cy="671513"/>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0160" cy="671513"/>
                    </a:xfrm>
                    <a:prstGeom prst="rect"/>
                    <a:ln/>
                  </pic:spPr>
                </pic:pic>
              </a:graphicData>
            </a:graphic>
          </wp:anchor>
        </w:drawing>
      </w:r>
    </w:p>
    <w:tbl>
      <w:tblPr>
        <w:tblStyle w:val="Table1"/>
        <w:tblW w:w="11349.0" w:type="dxa"/>
        <w:jc w:val="left"/>
        <w:tblInd w:w="-318.0" w:type="dxa"/>
        <w:tblLayout w:type="fixed"/>
        <w:tblLook w:val="0000"/>
      </w:tblPr>
      <w:tblGrid>
        <w:gridCol w:w="11349"/>
        <w:tblGridChange w:id="0">
          <w:tblGrid>
            <w:gridCol w:w="11349"/>
          </w:tblGrid>
        </w:tblGridChange>
      </w:tblGrid>
      <w:tr>
        <w:trPr>
          <w:trHeight w:val="760" w:hRule="atLeast"/>
        </w:trPr>
        <w:tc>
          <w:tcPr>
            <w:tcBorders>
              <w:top w:color="ffffff" w:space="0" w:sz="6" w:val="single"/>
              <w:left w:color="ffffff" w:space="0" w:sz="6" w:val="single"/>
              <w:bottom w:color="ffffff" w:space="0" w:sz="6" w:val="single"/>
              <w:right w:color="ffffff" w:space="0" w:sz="6" w:val="single"/>
            </w:tcBorders>
            <w:shd w:fill="a4c2f4"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Robot mBot Makeblock</w:t>
            </w:r>
            <w:r w:rsidDel="00000000" w:rsidR="00000000" w:rsidRPr="00000000">
              <w:rPr>
                <w:rtl w:val="0"/>
              </w:rPr>
            </w:r>
          </w:p>
        </w:tc>
      </w:tr>
    </w:tbl>
    <w:p w:rsidR="00000000" w:rsidDel="00000000" w:rsidP="00000000" w:rsidRDefault="00000000" w:rsidRPr="00000000" w14:paraId="00000003">
      <w:pPr>
        <w:widowControl w:val="0"/>
        <w:rPr>
          <w:rFonts w:ascii="Arial" w:cs="Arial" w:eastAsia="Arial" w:hAnsi="Arial"/>
          <w:color w:val="00000a"/>
          <w:vertAlign w:val="baseline"/>
        </w:rPr>
      </w:pPr>
      <w:r w:rsidDel="00000000" w:rsidR="00000000" w:rsidRPr="00000000">
        <w:rPr>
          <w:rtl w:val="0"/>
        </w:rPr>
      </w:r>
    </w:p>
    <w:tbl>
      <w:tblPr>
        <w:tblStyle w:val="Table2"/>
        <w:tblW w:w="11341.0" w:type="dxa"/>
        <w:jc w:val="left"/>
        <w:tblInd w:w="-318.0" w:type="dxa"/>
        <w:tblLayout w:type="fixed"/>
        <w:tblLook w:val="0000"/>
      </w:tblPr>
      <w:tblGrid>
        <w:gridCol w:w="11341"/>
        <w:tblGridChange w:id="0">
          <w:tblGrid>
            <w:gridCol w:w="11341"/>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Lieu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r>
    </w:tbl>
    <w:p w:rsidR="00000000" w:rsidDel="00000000" w:rsidP="00000000" w:rsidRDefault="00000000" w:rsidRPr="00000000" w14:paraId="00000005">
      <w:pPr>
        <w:widowControl w:val="0"/>
        <w:rPr>
          <w:rFonts w:ascii="Arial" w:cs="Arial" w:eastAsia="Arial" w:hAnsi="Arial"/>
          <w:color w:val="00000a"/>
          <w:vertAlign w:val="baseline"/>
        </w:rPr>
      </w:pPr>
      <w:r w:rsidDel="00000000" w:rsidR="00000000" w:rsidRPr="00000000">
        <w:rPr>
          <w:rtl w:val="0"/>
        </w:rPr>
      </w:r>
    </w:p>
    <w:tbl>
      <w:tblPr>
        <w:tblStyle w:val="Table3"/>
        <w:tblW w:w="11340.0" w:type="dxa"/>
        <w:jc w:val="left"/>
        <w:tblInd w:w="-318.0" w:type="dxa"/>
        <w:tblLayout w:type="fixed"/>
        <w:tblLook w:val="0000"/>
      </w:tblPr>
      <w:tblGrid>
        <w:gridCol w:w="6095"/>
        <w:gridCol w:w="5245"/>
        <w:tblGridChange w:id="0">
          <w:tblGrid>
            <w:gridCol w:w="6095"/>
            <w:gridCol w:w="5245"/>
          </w:tblGrid>
        </w:tblGridChange>
      </w:tblGrid>
      <w:tr>
        <w:trPr>
          <w:trHeight w:val="58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Durée :</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Public :</w:t>
            </w:r>
            <w:r w:rsidDel="00000000" w:rsidR="00000000" w:rsidRPr="00000000">
              <w:rPr>
                <w:rFonts w:ascii="Arial" w:cs="Arial" w:eastAsia="Arial" w:hAnsi="Arial"/>
                <w:b w:val="1"/>
                <w:color w:val="95b3d7"/>
                <w:vertAlign w:val="baseline"/>
                <w:rtl w:val="0"/>
              </w:rPr>
              <w:t xml:space="preserve"> </w:t>
            </w:r>
            <w:r w:rsidDel="00000000" w:rsidR="00000000" w:rsidRPr="00000000">
              <w:rPr>
                <w:rFonts w:ascii="Arial" w:cs="Arial" w:eastAsia="Arial" w:hAnsi="Arial"/>
                <w:color w:val="00000a"/>
                <w:vertAlign w:val="baseline"/>
                <w:rtl w:val="0"/>
              </w:rPr>
              <w:t xml:space="preserve">à partir de </w:t>
            </w:r>
            <w:r w:rsidDel="00000000" w:rsidR="00000000" w:rsidRPr="00000000">
              <w:rPr>
                <w:rFonts w:ascii="Arial" w:cs="Arial" w:eastAsia="Arial" w:hAnsi="Arial"/>
                <w:color w:val="00000a"/>
                <w:rtl w:val="0"/>
              </w:rPr>
              <w:t xml:space="preserve">7</w:t>
            </w:r>
            <w:r w:rsidDel="00000000" w:rsidR="00000000" w:rsidRPr="00000000">
              <w:rPr>
                <w:rFonts w:ascii="Arial" w:cs="Arial" w:eastAsia="Arial" w:hAnsi="Arial"/>
                <w:color w:val="00000a"/>
                <w:vertAlign w:val="baseline"/>
                <w:rtl w:val="0"/>
              </w:rPr>
              <w:t xml:space="preserve"> ans</w:t>
            </w:r>
            <w:r w:rsidDel="00000000" w:rsidR="00000000" w:rsidRPr="00000000">
              <w:rPr>
                <w:rtl w:val="0"/>
              </w:rPr>
            </w:r>
          </w:p>
        </w:tc>
      </w:tr>
    </w:tbl>
    <w:p w:rsidR="00000000" w:rsidDel="00000000" w:rsidP="00000000" w:rsidRDefault="00000000" w:rsidRPr="00000000" w14:paraId="00000008">
      <w:pPr>
        <w:widowControl w:val="0"/>
        <w:rPr>
          <w:rFonts w:ascii="Arial" w:cs="Arial" w:eastAsia="Arial" w:hAnsi="Arial"/>
          <w:color w:val="00000a"/>
          <w:vertAlign w:val="baseline"/>
        </w:rPr>
      </w:pPr>
      <w:r w:rsidDel="00000000" w:rsidR="00000000" w:rsidRPr="00000000">
        <w:rPr>
          <w:rtl w:val="0"/>
        </w:rPr>
      </w:r>
    </w:p>
    <w:tbl>
      <w:tblPr>
        <w:tblStyle w:val="Table4"/>
        <w:tblW w:w="11340.0" w:type="dxa"/>
        <w:jc w:val="left"/>
        <w:tblInd w:w="-318.0" w:type="dxa"/>
        <w:tblLayout w:type="fixed"/>
        <w:tblLook w:val="0000"/>
      </w:tblPr>
      <w:tblGrid>
        <w:gridCol w:w="6095"/>
        <w:gridCol w:w="5245"/>
        <w:tblGridChange w:id="0">
          <w:tblGrid>
            <w:gridCol w:w="6095"/>
            <w:gridCol w:w="524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9">
            <w:pPr>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Public maximum conseillé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Animateur :</w:t>
            </w:r>
            <w:r w:rsidDel="00000000" w:rsidR="00000000" w:rsidRPr="00000000">
              <w:rPr>
                <w:rFonts w:ascii="Arial" w:cs="Arial" w:eastAsia="Arial" w:hAnsi="Arial"/>
                <w:vertAlign w:val="baseline"/>
                <w:rtl w:val="0"/>
              </w:rPr>
              <w:t xml:space="preserve"> nécessaire</w:t>
            </w:r>
          </w:p>
        </w:tc>
      </w:tr>
    </w:tbl>
    <w:p w:rsidR="00000000" w:rsidDel="00000000" w:rsidP="00000000" w:rsidRDefault="00000000" w:rsidRPr="00000000" w14:paraId="0000000B">
      <w:pPr>
        <w:widowControl w:val="0"/>
        <w:tabs>
          <w:tab w:val="left" w:pos="1300"/>
        </w:tabs>
        <w:rPr>
          <w:rFonts w:ascii="Arial" w:cs="Arial" w:eastAsia="Arial" w:hAnsi="Arial"/>
          <w:color w:val="00000a"/>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Objectifs :</w:t>
      </w:r>
    </w:p>
    <w:p w:rsidR="00000000" w:rsidDel="00000000" w:rsidP="00000000" w:rsidRDefault="00000000" w:rsidRPr="00000000" w14:paraId="0000000D">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Les fonctions préprogrammées sur la carte permettent une mise en route très rapide de fonctions types : éviter les obstacles, suivre une ligne ou encore le contrôle à distance via la télécommande infra-rouge. </w:t>
      </w:r>
    </w:p>
    <w:p w:rsidR="00000000" w:rsidDel="00000000" w:rsidP="00000000" w:rsidRDefault="00000000" w:rsidRPr="00000000" w14:paraId="0000000E">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Le robot Mbot est associé au logiciel MBLOCK.</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Il peut être programmé et contrôlé à distance par un module sans fil 2.4Ghz (ou Bluetooth en option). Par simple glissé-déposé, le robot Mbot se programme en langage bloc inspiré par Scratch 2.0. En plus des blocs d'origine Scratch, des blocs spécifiques pour le robot facilitent la programmation. </w:t>
      </w: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keepNext w:val="0"/>
        <w:keepLines w:val="0"/>
        <w:jc w:val="both"/>
        <w:rPr>
          <w:rFonts w:ascii="Arial" w:cs="Arial" w:eastAsia="Arial" w:hAnsi="Arial"/>
          <w:b w:val="1"/>
        </w:rPr>
      </w:pPr>
      <w:r w:rsidDel="00000000" w:rsidR="00000000" w:rsidRPr="00000000">
        <w:rPr>
          <w:rFonts w:ascii="Arial" w:cs="Arial" w:eastAsia="Arial" w:hAnsi="Arial"/>
          <w:b w:val="1"/>
          <w:rtl w:val="0"/>
        </w:rPr>
        <w:t xml:space="preserve">Spécifications techniques du robot : </w:t>
      </w:r>
    </w:p>
    <w:p w:rsidR="00000000" w:rsidDel="00000000" w:rsidP="00000000" w:rsidRDefault="00000000" w:rsidRPr="00000000" w14:paraId="00000013">
      <w:pPr>
        <w:numPr>
          <w:ilvl w:val="0"/>
          <w:numId w:val="1"/>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Autonomie : 4 piles LR6 1.5 V </w:t>
      </w:r>
    </w:p>
    <w:p w:rsidR="00000000" w:rsidDel="00000000" w:rsidP="00000000" w:rsidRDefault="00000000" w:rsidRPr="00000000" w14:paraId="00000014">
      <w:pPr>
        <w:numPr>
          <w:ilvl w:val="0"/>
          <w:numId w:val="1"/>
        </w:numPr>
        <w:spacing w:after="24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bouton noir situé à l’avant du capot transparent du mBot sert à changer les modes de démonstrations sans la télécommande</w:t>
      </w:r>
    </w:p>
    <w:p w:rsidR="00000000" w:rsidDel="00000000" w:rsidP="00000000" w:rsidRDefault="00000000" w:rsidRPr="00000000" w14:paraId="00000015">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numPr>
          <w:ilvl w:val="0"/>
          <w:numId w:val="1"/>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Contenu du coffret :</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robot mBot avec accessoire</w:t>
      </w:r>
    </w:p>
    <w:p w:rsidR="00000000" w:rsidDel="00000000" w:rsidP="00000000" w:rsidRDefault="00000000" w:rsidRPr="00000000" w14:paraId="00000018">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livret de montage</w:t>
      </w:r>
    </w:p>
    <w:p w:rsidR="00000000" w:rsidDel="00000000" w:rsidP="00000000" w:rsidRDefault="00000000" w:rsidRPr="00000000" w14:paraId="00000019">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clé bluetooth</w:t>
      </w:r>
    </w:p>
    <w:p w:rsidR="00000000" w:rsidDel="00000000" w:rsidP="00000000" w:rsidRDefault="00000000" w:rsidRPr="00000000" w14:paraId="0000001A">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lot de 4 piles LR6 1.5 V</w:t>
      </w:r>
    </w:p>
    <w:p w:rsidR="00000000" w:rsidDel="00000000" w:rsidP="00000000" w:rsidRDefault="00000000" w:rsidRPr="00000000" w14:paraId="0000001B">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télécommande Makeblock (pile bouton CR2025)</w:t>
      </w:r>
    </w:p>
    <w:p w:rsidR="00000000" w:rsidDel="00000000" w:rsidP="00000000" w:rsidRDefault="00000000" w:rsidRPr="00000000" w14:paraId="0000001C">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câble USB B</w:t>
      </w:r>
    </w:p>
    <w:p w:rsidR="00000000" w:rsidDel="00000000" w:rsidP="00000000" w:rsidRDefault="00000000" w:rsidRPr="00000000" w14:paraId="0000001D">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tournevis à double fonction</w:t>
      </w:r>
    </w:p>
    <w:p w:rsidR="00000000" w:rsidDel="00000000" w:rsidP="00000000" w:rsidRDefault="00000000" w:rsidRPr="00000000" w14:paraId="0000001E">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modèle de circuit en 8</w:t>
      </w:r>
    </w:p>
    <w:p w:rsidR="00000000" w:rsidDel="00000000" w:rsidP="00000000" w:rsidRDefault="00000000" w:rsidRPr="00000000" w14:paraId="0000001F">
      <w:pPr>
        <w:numPr>
          <w:ilvl w:val="0"/>
          <w:numId w:val="1"/>
        </w:numPr>
        <w:spacing w:after="24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Plusieurs dalles pour circuit</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Procédure (DEMO) :</w:t>
      </w:r>
    </w:p>
    <w:p w:rsidR="00000000" w:rsidDel="00000000" w:rsidP="00000000" w:rsidRDefault="00000000" w:rsidRPr="00000000" w14:paraId="0000002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Sortir mBot de son coffret</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Allumer le mBot en actionnant l’interrupteur sur le côté gauche du capot les leds du mBot s’allumeront en blanc (si toutefois le robot ne s’allume pas changer les piles en démontant le capot transparent à l’aide du tournevis) </w:t>
      </w:r>
    </w:p>
    <w:p w:rsidR="00000000" w:rsidDel="00000000" w:rsidP="00000000" w:rsidRDefault="00000000" w:rsidRPr="00000000" w14:paraId="00000025">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appuyant sur le bouton B de la télécommande le mBot s’éclairera en vert et évitera les obstacles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Utiliser les flèches de direction de la télécommande pour le faire circuler</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appuyant sur le bouton C de la télécommande le mBot s’éclairera en bleu et peut suivre le modèle de circuit en 8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widowControl w:val="0"/>
        <w:tabs>
          <w:tab w:val="left" w:pos="1300"/>
        </w:tabs>
        <w:rPr>
          <w:rFonts w:ascii="Arial" w:cs="Arial" w:eastAsia="Arial" w:hAnsi="Arial"/>
          <w:color w:val="cc0066"/>
          <w:sz w:val="22"/>
          <w:szCs w:val="22"/>
        </w:rPr>
      </w:pPr>
      <w:r w:rsidDel="00000000" w:rsidR="00000000" w:rsidRPr="00000000">
        <w:rPr>
          <w:rFonts w:ascii="Arial" w:cs="Arial" w:eastAsia="Arial" w:hAnsi="Arial"/>
          <w:color w:val="cc0066"/>
          <w:sz w:val="22"/>
          <w:szCs w:val="22"/>
        </w:rPr>
        <w:drawing>
          <wp:inline distB="114300" distT="114300" distL="114300" distR="114300">
            <wp:extent cx="2586038" cy="258603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86038" cy="2586038"/>
                    </a:xfrm>
                    <a:prstGeom prst="rect"/>
                    <a:ln/>
                  </pic:spPr>
                </pic:pic>
              </a:graphicData>
            </a:graphic>
          </wp:inline>
        </w:drawing>
      </w:r>
      <w:r w:rsidDel="00000000" w:rsidR="00000000" w:rsidRPr="00000000">
        <w:rPr>
          <w:rFonts w:ascii="Arial" w:cs="Arial" w:eastAsia="Arial" w:hAnsi="Arial"/>
          <w:color w:val="cc0066"/>
          <w:sz w:val="22"/>
          <w:szCs w:val="22"/>
        </w:rPr>
        <w:drawing>
          <wp:inline distB="114300" distT="114300" distL="114300" distR="114300">
            <wp:extent cx="1649016" cy="1319213"/>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649016" cy="1319213"/>
                    </a:xfrm>
                    <a:prstGeom prst="rect"/>
                    <a:ln/>
                  </pic:spPr>
                </pic:pic>
              </a:graphicData>
            </a:graphic>
          </wp:inline>
        </w:drawing>
      </w:r>
      <w:r w:rsidDel="00000000" w:rsidR="00000000" w:rsidRPr="00000000">
        <w:rPr>
          <w:rtl w:val="0"/>
        </w:rPr>
      </w:r>
    </w:p>
    <w:sectPr>
      <w:footerReference r:id="rId10" w:type="default"/>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Direction de la Lecture Publique de Loir-et-Cher - Creative Commons CC BY NC  </w:t>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